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0A" w:rsidRPr="001A40E2" w:rsidRDefault="009F132C" w:rsidP="00BC690A">
      <w:pPr>
        <w:spacing w:after="180"/>
        <w:rPr>
          <w:b/>
          <w:sz w:val="44"/>
          <w:szCs w:val="44"/>
        </w:rPr>
      </w:pPr>
      <w:r w:rsidRPr="009F132C">
        <w:rPr>
          <w:b/>
          <w:sz w:val="44"/>
          <w:szCs w:val="44"/>
        </w:rPr>
        <w:t>Trolley pull</w:t>
      </w:r>
    </w:p>
    <w:p w:rsidR="00BC690A" w:rsidRDefault="00BC690A" w:rsidP="00BC690A">
      <w:pPr>
        <w:spacing w:after="180"/>
      </w:pPr>
    </w:p>
    <w:p w:rsidR="009F132C" w:rsidRPr="009F132C" w:rsidRDefault="009F132C" w:rsidP="009F132C">
      <w:pPr>
        <w:spacing w:line="276" w:lineRule="auto"/>
      </w:pPr>
      <w:r w:rsidRPr="009F132C">
        <w:rPr>
          <w:lang w:val="en-US"/>
        </w:rPr>
        <w:t>A dynamics trolley is pulled along a bench by a falling weight.</w:t>
      </w:r>
      <w:r w:rsidRPr="009F132C">
        <w:rPr>
          <w:noProof/>
        </w:rPr>
        <w:t xml:space="preserve"> </w:t>
      </w:r>
    </w:p>
    <w:p w:rsidR="009F132C" w:rsidRPr="009F132C" w:rsidRDefault="009F132C" w:rsidP="009F132C">
      <w:pPr>
        <w:spacing w:line="276" w:lineRule="auto"/>
      </w:pPr>
      <w:r w:rsidRPr="009F132C">
        <w:rPr>
          <w:lang w:val="en-US"/>
        </w:rPr>
        <w:t>The size of the force pulling it is equal to the size of the weight.</w:t>
      </w:r>
    </w:p>
    <w:p w:rsidR="00BC690A" w:rsidRDefault="00BC690A" w:rsidP="00BC690A">
      <w:pPr>
        <w:spacing w:after="180"/>
      </w:pPr>
    </w:p>
    <w:p w:rsidR="00BC690A" w:rsidRDefault="009F132C" w:rsidP="00BC690A">
      <w:pPr>
        <w:spacing w:after="180"/>
      </w:pPr>
      <w:r>
        <w:rPr>
          <w:noProof/>
          <w:lang w:eastAsia="en-GB"/>
        </w:rPr>
        <w:drawing>
          <wp:anchor distT="0" distB="0" distL="114300" distR="114300" simplePos="0" relativeHeight="251658240" behindDoc="1" locked="0" layoutInCell="1" allowOverlap="1" wp14:anchorId="347ABCAC">
            <wp:simplePos x="0" y="0"/>
            <wp:positionH relativeFrom="margin">
              <wp:align>center</wp:align>
            </wp:positionH>
            <wp:positionV relativeFrom="paragraph">
              <wp:posOffset>7672</wp:posOffset>
            </wp:positionV>
            <wp:extent cx="4291316" cy="1672282"/>
            <wp:effectExtent l="0" t="0" r="0" b="444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1316" cy="1672282"/>
                    </a:xfrm>
                    <a:prstGeom prst="rect">
                      <a:avLst/>
                    </a:prstGeom>
                    <a:noFill/>
                  </pic:spPr>
                </pic:pic>
              </a:graphicData>
            </a:graphic>
            <wp14:sizeRelH relativeFrom="margin">
              <wp14:pctWidth>0</wp14:pctWidth>
            </wp14:sizeRelH>
            <wp14:sizeRelV relativeFrom="margin">
              <wp14:pctHeight>0</wp14:pctHeight>
            </wp14:sizeRelV>
          </wp:anchor>
        </w:drawing>
      </w:r>
    </w:p>
    <w:p w:rsidR="009F132C" w:rsidRPr="008243E9" w:rsidRDefault="009F132C" w:rsidP="00BC690A">
      <w:pPr>
        <w:spacing w:after="180"/>
      </w:pPr>
    </w:p>
    <w:p w:rsidR="00BC690A" w:rsidRPr="005D21F2" w:rsidRDefault="00BC690A" w:rsidP="00BC690A">
      <w:pPr>
        <w:spacing w:after="120"/>
        <w:rPr>
          <w:b/>
          <w:sz w:val="4"/>
          <w:szCs w:val="4"/>
        </w:rPr>
      </w:pPr>
    </w:p>
    <w:p w:rsidR="007E4CA8" w:rsidRDefault="007E4CA8" w:rsidP="00BC690A">
      <w:pPr>
        <w:spacing w:after="120"/>
        <w:rPr>
          <w:b/>
        </w:rPr>
      </w:pPr>
    </w:p>
    <w:p w:rsidR="00BC690A" w:rsidRPr="00E172C6" w:rsidRDefault="00BC690A" w:rsidP="00BC690A">
      <w:pPr>
        <w:spacing w:after="120"/>
        <w:rPr>
          <w:b/>
        </w:rPr>
      </w:pPr>
      <w:r>
        <w:rPr>
          <w:b/>
        </w:rPr>
        <w:t>Predict</w:t>
      </w:r>
    </w:p>
    <w:p w:rsidR="007E4CA8" w:rsidRPr="007E4CA8" w:rsidRDefault="007E4CA8" w:rsidP="007E4CA8">
      <w:pPr>
        <w:tabs>
          <w:tab w:val="left" w:pos="6237"/>
          <w:tab w:val="left" w:pos="6804"/>
          <w:tab w:val="right" w:leader="dot" w:pos="7513"/>
        </w:tabs>
        <w:spacing w:after="120" w:line="276" w:lineRule="auto"/>
        <w:ind w:right="2813"/>
      </w:pPr>
      <w:r w:rsidRPr="007E4CA8">
        <w:rPr>
          <w:lang w:val="en-US"/>
        </w:rPr>
        <w:t>What do you think will happen if the mass of the trolley and the force pulling it are both doubled?</w:t>
      </w:r>
    </w:p>
    <w:p w:rsidR="00BC690A" w:rsidRDefault="009F132C" w:rsidP="007E4CA8">
      <w:pPr>
        <w:tabs>
          <w:tab w:val="left" w:pos="6237"/>
          <w:tab w:val="right" w:leader="dot" w:pos="8931"/>
        </w:tabs>
        <w:spacing w:after="120"/>
        <w:ind w:right="2813"/>
      </w:pPr>
      <w:r>
        <w:t>……………………………………………………………………………………………………</w:t>
      </w:r>
      <w:r w:rsidR="007E4CA8">
        <w:t>……..</w:t>
      </w:r>
    </w:p>
    <w:p w:rsidR="00BC690A" w:rsidRDefault="009F132C" w:rsidP="007E4CA8">
      <w:pPr>
        <w:tabs>
          <w:tab w:val="left" w:pos="6237"/>
          <w:tab w:val="right" w:leader="dot" w:pos="8931"/>
        </w:tabs>
        <w:spacing w:after="120"/>
        <w:ind w:right="2813"/>
      </w:pPr>
      <w:r>
        <w:t>……………………………………………………………………………………………………………</w:t>
      </w:r>
    </w:p>
    <w:p w:rsidR="007E4CA8" w:rsidRDefault="007E4CA8" w:rsidP="007E4CA8">
      <w:pPr>
        <w:tabs>
          <w:tab w:val="left" w:pos="6237"/>
          <w:tab w:val="right" w:leader="dot" w:pos="8931"/>
        </w:tabs>
        <w:spacing w:after="120"/>
        <w:ind w:right="2813"/>
      </w:pPr>
      <w:r>
        <w:t>……………………………………………………………………………………………………………</w:t>
      </w:r>
    </w:p>
    <w:p w:rsidR="00BC690A" w:rsidRPr="00E172C6" w:rsidRDefault="00BC690A" w:rsidP="00BC690A">
      <w:pPr>
        <w:spacing w:after="120"/>
        <w:rPr>
          <w:b/>
        </w:rPr>
      </w:pPr>
      <w:r>
        <w:rPr>
          <w:b/>
        </w:rPr>
        <w:t>Explain</w:t>
      </w:r>
    </w:p>
    <w:p w:rsidR="00BC690A" w:rsidRDefault="00BC690A" w:rsidP="00BC690A">
      <w:pPr>
        <w:spacing w:after="120"/>
      </w:pPr>
      <w:r w:rsidRPr="0080055D">
        <w:rPr>
          <w:lang w:eastAsia="en-GB"/>
        </w:rPr>
        <w:t xml:space="preserve">Why do you </w:t>
      </w:r>
      <w:r w:rsidRPr="007E4CA8">
        <w:rPr>
          <w:lang w:eastAsia="en-GB"/>
        </w:rPr>
        <w:t xml:space="preserve">think </w:t>
      </w:r>
      <w:r w:rsidR="007E4CA8" w:rsidRPr="007E4CA8">
        <w:rPr>
          <w:lang w:eastAsia="en-GB"/>
        </w:rPr>
        <w:t>this</w:t>
      </w:r>
      <w:r w:rsidRPr="007E4CA8">
        <w:rPr>
          <w:lang w:eastAsia="en-GB"/>
        </w:rPr>
        <w:t xml:space="preserve"> will happen</w:t>
      </w:r>
      <w:r>
        <w:rPr>
          <w:lang w:eastAsia="en-GB"/>
        </w:rPr>
        <w:t>?</w:t>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BC690A" w:rsidP="00BC690A">
      <w:pPr>
        <w:tabs>
          <w:tab w:val="right" w:leader="dot" w:pos="8931"/>
        </w:tabs>
        <w:spacing w:after="120"/>
      </w:pPr>
      <w:r>
        <w:tab/>
      </w:r>
    </w:p>
    <w:p w:rsidR="00BC690A" w:rsidRPr="008E662A" w:rsidRDefault="00BC690A" w:rsidP="00BC690A">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BC690A" w:rsidRPr="00563C6F" w:rsidTr="00F5708B">
        <w:trPr>
          <w:trHeight w:val="323"/>
        </w:trPr>
        <w:tc>
          <w:tcPr>
            <w:tcW w:w="6345" w:type="dxa"/>
            <w:vAlign w:val="center"/>
          </w:tcPr>
          <w:p w:rsidR="00BC690A" w:rsidRPr="00563C6F" w:rsidRDefault="007E4CA8" w:rsidP="007E4CA8">
            <w:pPr>
              <w:tabs>
                <w:tab w:val="right" w:leader="dot" w:pos="7655"/>
              </w:tabs>
              <w:spacing w:before="60" w:after="120"/>
              <w:jc w:val="center"/>
              <w:rPr>
                <w:b/>
              </w:rPr>
            </w:pPr>
            <w:r w:rsidRPr="007E4CA8">
              <w:rPr>
                <w:b/>
                <w:bCs/>
                <w:lang w:val="en-US"/>
              </w:rPr>
              <w:t>Observe what happens when mass and force are doubled.</w:t>
            </w:r>
          </w:p>
        </w:tc>
      </w:tr>
    </w:tbl>
    <w:p w:rsidR="00BC690A" w:rsidRDefault="00BC690A" w:rsidP="00BC690A">
      <w:pPr>
        <w:spacing w:after="120"/>
        <w:rPr>
          <w:b/>
          <w:sz w:val="4"/>
          <w:szCs w:val="4"/>
        </w:rPr>
      </w:pPr>
    </w:p>
    <w:p w:rsidR="00BC690A" w:rsidRPr="00F45BBF" w:rsidRDefault="00BC690A" w:rsidP="00BC690A">
      <w:pPr>
        <w:spacing w:after="120"/>
        <w:rPr>
          <w:b/>
          <w:sz w:val="4"/>
          <w:szCs w:val="4"/>
        </w:rPr>
      </w:pPr>
    </w:p>
    <w:p w:rsidR="00BC690A" w:rsidRPr="00E172C6" w:rsidRDefault="00BC690A" w:rsidP="00BC690A">
      <w:pPr>
        <w:spacing w:after="120"/>
        <w:rPr>
          <w:b/>
        </w:rPr>
      </w:pPr>
      <w:r>
        <w:rPr>
          <w:b/>
        </w:rPr>
        <w:t>Observe</w:t>
      </w:r>
    </w:p>
    <w:p w:rsidR="007E4CA8" w:rsidRPr="007E4CA8" w:rsidRDefault="007E4CA8" w:rsidP="007E4CA8">
      <w:pPr>
        <w:tabs>
          <w:tab w:val="right" w:leader="dot" w:pos="8931"/>
        </w:tabs>
        <w:spacing w:after="120"/>
        <w:rPr>
          <w:rFonts w:ascii="Calibri" w:eastAsia="Times New Roman" w:hAnsi="Calibri" w:cs="Times New Roman"/>
          <w:lang w:eastAsia="en-GB" w:bidi="en-US"/>
        </w:rPr>
      </w:pPr>
      <w:r w:rsidRPr="007E4CA8">
        <w:rPr>
          <w:rFonts w:ascii="Calibri" w:eastAsia="Times New Roman" w:hAnsi="Calibri" w:cs="Times New Roman"/>
          <w:lang w:val="en-US" w:eastAsia="en-GB" w:bidi="en-US"/>
        </w:rPr>
        <w:t>Describe how the trollies move.</w:t>
      </w:r>
      <w:r w:rsidR="002266A2">
        <w:rPr>
          <w:rFonts w:ascii="Calibri" w:eastAsia="Times New Roman" w:hAnsi="Calibri" w:cs="Times New Roman"/>
          <w:lang w:val="en-US" w:eastAsia="en-GB" w:bidi="en-US"/>
        </w:rPr>
        <w:t xml:space="preserve"> (</w:t>
      </w:r>
      <w:r w:rsidRPr="007E4CA8">
        <w:rPr>
          <w:rFonts w:ascii="Calibri" w:eastAsia="Times New Roman" w:hAnsi="Calibri" w:cs="Times New Roman"/>
          <w:lang w:val="en-US" w:eastAsia="en-GB" w:bidi="en-US"/>
        </w:rPr>
        <w:t xml:space="preserve">How do their speeds </w:t>
      </w:r>
      <w:r w:rsidR="002266A2">
        <w:rPr>
          <w:rFonts w:ascii="Calibri" w:eastAsia="Times New Roman" w:hAnsi="Calibri" w:cs="Times New Roman"/>
          <w:lang w:val="en-US" w:eastAsia="en-GB" w:bidi="en-US"/>
        </w:rPr>
        <w:t xml:space="preserve">and accelerations </w:t>
      </w:r>
      <w:r w:rsidRPr="007E4CA8">
        <w:rPr>
          <w:rFonts w:ascii="Calibri" w:eastAsia="Times New Roman" w:hAnsi="Calibri" w:cs="Times New Roman"/>
          <w:lang w:val="en-US" w:eastAsia="en-GB" w:bidi="en-US"/>
        </w:rPr>
        <w:t>compare?</w:t>
      </w:r>
      <w:r w:rsidR="002266A2">
        <w:rPr>
          <w:rFonts w:ascii="Calibri" w:eastAsia="Times New Roman" w:hAnsi="Calibri" w:cs="Times New Roman"/>
          <w:lang w:val="en-US" w:eastAsia="en-GB" w:bidi="en-US"/>
        </w:rPr>
        <w:t>)</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2266A2" w:rsidRDefault="002266A2" w:rsidP="00BC690A">
      <w:pPr>
        <w:tabs>
          <w:tab w:val="right" w:leader="dot" w:pos="8931"/>
        </w:tabs>
        <w:spacing w:after="120"/>
      </w:pPr>
      <w:r>
        <w:tab/>
      </w:r>
    </w:p>
    <w:p w:rsidR="00BC690A" w:rsidRPr="00E172C6" w:rsidRDefault="00BC690A" w:rsidP="00BC690A">
      <w:pPr>
        <w:spacing w:after="120"/>
        <w:rPr>
          <w:b/>
        </w:rPr>
      </w:pPr>
      <w:r>
        <w:rPr>
          <w:b/>
        </w:rPr>
        <w:t>Explain</w:t>
      </w:r>
    </w:p>
    <w:p w:rsidR="00BC690A" w:rsidRPr="0080055D" w:rsidRDefault="00BC690A" w:rsidP="00BC690A">
      <w:pPr>
        <w:tabs>
          <w:tab w:val="right" w:leader="dot" w:pos="7655"/>
        </w:tabs>
        <w:spacing w:line="276" w:lineRule="auto"/>
      </w:pPr>
      <w:r w:rsidRPr="0080055D">
        <w:t>Were your prediction and explanation correct?</w:t>
      </w:r>
    </w:p>
    <w:p w:rsidR="00BC690A" w:rsidRPr="00A335BC" w:rsidRDefault="00BC690A" w:rsidP="00BC690A">
      <w:pPr>
        <w:tabs>
          <w:tab w:val="right" w:leader="dot" w:pos="7655"/>
        </w:tabs>
        <w:spacing w:after="120"/>
      </w:pPr>
      <w:r w:rsidRPr="0080055D">
        <w:t>Try to improve your first explanation to explain what happens more clearly.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201AC2" w:rsidRDefault="00BC690A" w:rsidP="00174568">
      <w:pPr>
        <w:tabs>
          <w:tab w:val="right" w:leader="dot" w:pos="8931"/>
        </w:tabs>
        <w:spacing w:after="120"/>
        <w:rPr>
          <w:szCs w:val="18"/>
        </w:rPr>
      </w:pPr>
      <w:r>
        <w:tab/>
      </w: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7E4CA8">
          <w:headerReference w:type="default" r:id="rId8"/>
          <w:footerReference w:type="default" r:id="rId9"/>
          <w:pgSz w:w="11906" w:h="16838" w:code="9"/>
          <w:pgMar w:top="1440" w:right="1274" w:bottom="1440" w:left="1440" w:header="709" w:footer="567" w:gutter="0"/>
          <w:cols w:space="708"/>
          <w:docGrid w:linePitch="360"/>
        </w:sectPr>
      </w:pPr>
    </w:p>
    <w:p w:rsidR="003873A2" w:rsidRPr="006F3279" w:rsidRDefault="003873A2" w:rsidP="003873A2">
      <w:pPr>
        <w:spacing w:after="240"/>
        <w:rPr>
          <w:i/>
          <w:sz w:val="18"/>
          <w:szCs w:val="18"/>
        </w:rPr>
      </w:pPr>
      <w:bookmarkStart w:id="0" w:name="_Hlk98863523"/>
      <w:r w:rsidRPr="006568E5">
        <w:rPr>
          <w:i/>
          <w:sz w:val="18"/>
          <w:szCs w:val="18"/>
        </w:rPr>
        <w:lastRenderedPageBreak/>
        <w:t>Physics &gt; Big idea PFM: Forces and motion &gt; Topic PFM6: Forces make things change</w:t>
      </w:r>
      <w:bookmarkEnd w:id="0"/>
      <w:r w:rsidRPr="006568E5">
        <w:rPr>
          <w:i/>
          <w:sz w:val="18"/>
          <w:szCs w:val="18"/>
        </w:rPr>
        <w:t xml:space="preserv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3873A2" w:rsidRDefault="00B00348" w:rsidP="00B00348">
            <w:pPr>
              <w:ind w:left="1304"/>
              <w:rPr>
                <w:b/>
                <w:sz w:val="40"/>
                <w:szCs w:val="40"/>
              </w:rPr>
            </w:pPr>
            <w:r w:rsidRPr="003873A2">
              <w:rPr>
                <w:b/>
                <w:sz w:val="40"/>
                <w:szCs w:val="40"/>
              </w:rPr>
              <w:t xml:space="preserve">Response </w:t>
            </w:r>
            <w:r w:rsidR="00755E81" w:rsidRPr="003873A2">
              <w:rPr>
                <w:b/>
                <w:sz w:val="40"/>
                <w:szCs w:val="40"/>
              </w:rPr>
              <w:t>activity</w:t>
            </w:r>
          </w:p>
        </w:tc>
      </w:tr>
      <w:tr w:rsidR="006F3279" w:rsidTr="002454AC">
        <w:tc>
          <w:tcPr>
            <w:tcW w:w="12021" w:type="dxa"/>
            <w:shd w:val="clear" w:color="auto" w:fill="CCC0D9" w:themeFill="accent4" w:themeFillTint="66"/>
          </w:tcPr>
          <w:p w:rsidR="006F3279" w:rsidRPr="003873A2" w:rsidRDefault="003873A2" w:rsidP="006F3279">
            <w:pPr>
              <w:spacing w:after="60"/>
              <w:ind w:left="1304"/>
              <w:rPr>
                <w:b/>
                <w:sz w:val="40"/>
                <w:szCs w:val="40"/>
              </w:rPr>
            </w:pPr>
            <w:r w:rsidRPr="003873A2">
              <w:rPr>
                <w:b/>
                <w:sz w:val="40"/>
                <w:szCs w:val="40"/>
              </w:rPr>
              <w:t>Trolley pull</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873A2" w:rsidTr="003F16F9">
        <w:trPr>
          <w:trHeight w:val="340"/>
        </w:trPr>
        <w:tc>
          <w:tcPr>
            <w:tcW w:w="2196" w:type="dxa"/>
          </w:tcPr>
          <w:p w:rsidR="003873A2" w:rsidRDefault="003873A2" w:rsidP="003873A2">
            <w:pPr>
              <w:spacing w:before="60" w:after="60"/>
            </w:pPr>
            <w:r>
              <w:t>Learning focus:</w:t>
            </w:r>
          </w:p>
        </w:tc>
        <w:tc>
          <w:tcPr>
            <w:tcW w:w="6820" w:type="dxa"/>
          </w:tcPr>
          <w:p w:rsidR="003873A2" w:rsidRDefault="003873A2" w:rsidP="003873A2">
            <w:pPr>
              <w:spacing w:before="60" w:after="60"/>
            </w:pPr>
            <w:r>
              <w:t>The acceleration of an object is proportional to the resultant force acting on it and inversely proportional to its mass. An object accelerates in the direction of the resultant force acting on it.</w:t>
            </w:r>
          </w:p>
        </w:tc>
      </w:tr>
      <w:tr w:rsidR="003873A2" w:rsidTr="003F16F9">
        <w:trPr>
          <w:trHeight w:val="340"/>
        </w:trPr>
        <w:tc>
          <w:tcPr>
            <w:tcW w:w="2196" w:type="dxa"/>
          </w:tcPr>
          <w:p w:rsidR="003873A2" w:rsidRDefault="003873A2" w:rsidP="003873A2">
            <w:pPr>
              <w:spacing w:before="60" w:after="60"/>
            </w:pPr>
            <w:r>
              <w:t>Observable learning outcome:</w:t>
            </w:r>
          </w:p>
        </w:tc>
        <w:tc>
          <w:tcPr>
            <w:tcW w:w="6820" w:type="dxa"/>
          </w:tcPr>
          <w:p w:rsidR="00514F6B" w:rsidRDefault="00514F6B" w:rsidP="00514F6B">
            <w:pPr>
              <w:spacing w:before="60" w:after="60"/>
            </w:pPr>
            <w:r>
              <w:t>Describe the effect of a resultant force on objects of different mass.</w:t>
            </w:r>
          </w:p>
          <w:p w:rsidR="003873A2" w:rsidRPr="00A50C9C" w:rsidRDefault="00514F6B" w:rsidP="00514F6B">
            <w:pPr>
              <w:spacing w:before="60" w:after="60"/>
              <w:rPr>
                <w:b/>
              </w:rPr>
            </w:pPr>
            <w:r>
              <w:t>Describe the relationship between the resultant force on an object and its acceleration.</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873A2" w:rsidP="00755E81">
            <w:pPr>
              <w:spacing w:before="60" w:after="60"/>
            </w:pPr>
            <w:r w:rsidRPr="000D1C64">
              <w:t>Resultant force, acceleration</w:t>
            </w:r>
            <w:r>
              <w:t>, mass</w:t>
            </w:r>
            <w:r w:rsidR="00BE7653">
              <w:t>, dynamics trolley</w:t>
            </w:r>
          </w:p>
        </w:tc>
      </w:tr>
    </w:tbl>
    <w:p w:rsidR="00E172C6" w:rsidRDefault="00E172C6" w:rsidP="00E172C6">
      <w:pPr>
        <w:spacing w:after="180"/>
      </w:pPr>
    </w:p>
    <w:p w:rsidR="00755E81" w:rsidRPr="003873A2"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3873A2">
        <w:rPr>
          <w:rFonts w:cstheme="minorHAnsi"/>
          <w:color w:val="222222"/>
          <w:shd w:val="clear" w:color="auto" w:fill="FFFFFF"/>
        </w:rPr>
        <w:t>the following diagnostic question</w:t>
      </w:r>
      <w:r w:rsidR="003873A2">
        <w:rPr>
          <w:rFonts w:cstheme="minorHAnsi"/>
          <w:color w:val="222222"/>
          <w:shd w:val="clear" w:color="auto" w:fill="FFFFFF"/>
        </w:rPr>
        <w:t>s:</w:t>
      </w:r>
    </w:p>
    <w:p w:rsidR="00B00348" w:rsidRPr="003873A2" w:rsidRDefault="00B00348" w:rsidP="00B00348">
      <w:pPr>
        <w:pStyle w:val="ListParagraph"/>
        <w:numPr>
          <w:ilvl w:val="0"/>
          <w:numId w:val="1"/>
        </w:numPr>
        <w:spacing w:after="180"/>
      </w:pPr>
      <w:r w:rsidRPr="003873A2">
        <w:t xml:space="preserve">Diagnostic </w:t>
      </w:r>
      <w:r w:rsidR="00BA75D4" w:rsidRPr="003873A2">
        <w:t>question</w:t>
      </w:r>
      <w:r w:rsidRPr="003873A2">
        <w:t xml:space="preserve">: </w:t>
      </w:r>
      <w:r w:rsidR="003873A2" w:rsidRPr="003873A2">
        <w:t>Loaded lorry</w:t>
      </w:r>
    </w:p>
    <w:p w:rsidR="003873A2" w:rsidRPr="003873A2" w:rsidRDefault="003873A2" w:rsidP="00B00348">
      <w:pPr>
        <w:pStyle w:val="ListParagraph"/>
        <w:numPr>
          <w:ilvl w:val="0"/>
          <w:numId w:val="1"/>
        </w:numPr>
        <w:spacing w:after="180"/>
      </w:pPr>
      <w:r w:rsidRPr="003873A2">
        <w:t>Drag race II</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873A2" w:rsidRDefault="003873A2" w:rsidP="003873A2">
      <w:pPr>
        <w:spacing w:after="180"/>
      </w:pPr>
      <w:bookmarkStart w:id="1" w:name="_Hlk113457747"/>
      <w:r>
        <w:t xml:space="preserve">Students struggle to understand forces and motion, and use a system of ‘gut dynamics’ based on everyday experience in their reasoning. Understanding motion in Newtonian terms is a major task for students, and students of all ages, including physics undergraduates, fail to understand Newtonian concepts of motion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(Driver et al., 1994)</w:t>
      </w:r>
      <w:r>
        <w:fldChar w:fldCharType="end"/>
      </w:r>
      <w:r>
        <w:t xml:space="preserve">. </w:t>
      </w:r>
      <w:bookmarkEnd w:id="1"/>
    </w:p>
    <w:p w:rsidR="003873A2" w:rsidRDefault="003873A2" w:rsidP="003873A2">
      <w:pPr>
        <w:spacing w:after="180"/>
      </w:pPr>
      <w:bookmarkStart w:id="2" w:name="_Hlk113457774"/>
      <w:r>
        <w:t xml:space="preserve">Students have intuitive theories about forces and motion that resemble mediaeval ‘impetus’ theory </w:t>
      </w:r>
      <w:r>
        <w:fldChar w:fldCharType="begin"/>
      </w:r>
      <w:r>
        <w:instrText xml:space="preserve"> ADDIN EN.CITE &lt;EndNote&gt;&lt;Cite&gt;&lt;Author&gt;McCloskey&lt;/Author&gt;&lt;Year&gt;1983&lt;/Year&gt;&lt;IDText&gt;Intuitive Physics&lt;/IDText&gt;&lt;DisplayText&gt;(McCloskey, 1983)&lt;/DisplayText&gt;&lt;record&gt;&lt;titles&gt;&lt;title&gt;Intuitive Physics&lt;/title&gt;&lt;secondary-title&gt;Scientific American&lt;/secondary-title&gt;&lt;/titles&gt;&lt;contributors&gt;&lt;authors&gt;&lt;author&gt;McCloskey, M&lt;/author&gt;&lt;/authors&gt;&lt;/contributors&gt;&lt;added-date format="utc"&gt;1662561065&lt;/added-date&gt;&lt;ref-type name="Journal Article"&gt;17&lt;/ref-type&gt;&lt;dates&gt;&lt;year&gt;1983&lt;/year&gt;&lt;/dates&gt;&lt;rec-number&gt;414&lt;/rec-number&gt;&lt;last-updated-date format="utc"&gt;1662561098&lt;/last-updated-date&gt;&lt;volume&gt;248(4)&lt;/volume&gt;&lt;/record&gt;&lt;/Cite&gt;&lt;/EndNote&gt;</w:instrText>
      </w:r>
      <w:r>
        <w:fldChar w:fldCharType="separate"/>
      </w:r>
      <w:r>
        <w:rPr>
          <w:noProof/>
        </w:rPr>
        <w:t>(McCloskey, 1983)</w:t>
      </w:r>
      <w:r>
        <w:fldChar w:fldCharType="end"/>
      </w:r>
      <w:r>
        <w:t xml:space="preserve">. They may not see force as an interaction between two objects but rather as something that resides in a single object. They may use the terms ‘energy’ and ‘force’ in an undifferentiated way </w:t>
      </w:r>
      <w:r>
        <w:fldChar w:fldCharType="begin"/>
      </w:r>
      <w:r>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fldChar w:fldCharType="separate"/>
      </w:r>
      <w:r>
        <w:rPr>
          <w:noProof/>
        </w:rPr>
        <w:t>(Twigger et al., 1994)</w:t>
      </w:r>
      <w:r>
        <w:fldChar w:fldCharType="end"/>
      </w:r>
      <w:r>
        <w:t xml:space="preserve"> and may use ideas about force in a way that resembles what a physicist means by momentum </w:t>
      </w:r>
      <w:r>
        <w:fldChar w:fldCharType="begin"/>
      </w:r>
      <w:r>
        <w:instrText xml:space="preserve"> ADDIN EN.CITE &lt;EndNote&gt;&lt;Cite&gt;&lt;Author&gt;Watts&lt;/Author&gt;&lt;Year&gt;1981&lt;/Year&gt;&lt;IDText&gt;A survey of some children&amp;apos;s ideas about force&lt;/IDText&gt;&lt;DisplayText&gt;(Watts and Zylbersztajn, 1981)&lt;/DisplayText&gt;&lt;record&gt;&lt;titles&gt;&lt;title&gt;A survey of some children&amp;apos;s ideas about force&lt;/title&gt;&lt;secondary-title&gt;Physics Education&lt;/secondary-title&gt;&lt;/titles&gt;&lt;pages&gt;360-365&lt;/pages&gt;&lt;contributors&gt;&lt;authors&gt;&lt;author&gt;Watts, D. M&lt;/author&gt;&lt;author&gt;Zylbersztajn, A&lt;/author&gt;&lt;/authors&gt;&lt;/contributors&gt;&lt;added-date format="utc"&gt;1662561595&lt;/added-date&gt;&lt;ref-type name="Journal Article"&gt;17&lt;/ref-type&gt;&lt;dates&gt;&lt;year&gt;1981&lt;/year&gt;&lt;/dates&gt;&lt;rec-number&gt;416&lt;/rec-number&gt;&lt;last-updated-date format="utc"&gt;1662561666&lt;/last-updated-date&gt;&lt;volume&gt;16(6)&lt;/volume&gt;&lt;/record&gt;&lt;/Cite&gt;&lt;/EndNote&gt;</w:instrText>
      </w:r>
      <w:r>
        <w:fldChar w:fldCharType="separate"/>
      </w:r>
      <w:r>
        <w:rPr>
          <w:noProof/>
        </w:rPr>
        <w:t>(Watts and Zylbersztajn, 1981)</w:t>
      </w:r>
      <w:r>
        <w:fldChar w:fldCharType="end"/>
      </w:r>
      <w:r>
        <w:t>. They may believe that a force is required to maintain motion at a constant velocity, and that a greater force is required to maintain motion at a greater velocity, so that force is seen as being proportional to velocity rather than to acceleration as in the Newtonian view.</w:t>
      </w:r>
      <w:bookmarkEnd w:id="2"/>
    </w:p>
    <w:p w:rsidR="007A748B" w:rsidRPr="002454AC" w:rsidRDefault="007A748B" w:rsidP="003873A2">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BC690A" w:rsidRDefault="00BC690A" w:rsidP="00BC690A">
      <w:pPr>
        <w:spacing w:after="180"/>
      </w:pPr>
      <w:r>
        <w:lastRenderedPageBreak/>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3873A2" w:rsidRDefault="003873A2" w:rsidP="00785254">
      <w:pPr>
        <w:pStyle w:val="ListParagraph"/>
        <w:numPr>
          <w:ilvl w:val="0"/>
          <w:numId w:val="4"/>
        </w:numPr>
        <w:spacing w:after="60"/>
        <w:ind w:left="567" w:hanging="283"/>
        <w:contextualSpacing w:val="0"/>
      </w:pPr>
      <w:r>
        <w:t>It is relatively straight forward to demonstrate</w:t>
      </w:r>
      <w:r w:rsidR="00EB5B6F">
        <w:t>,</w:t>
      </w:r>
      <w:r>
        <w:t xml:space="preserve"> </w:t>
      </w:r>
      <w:r w:rsidR="00EB5B6F">
        <w:t xml:space="preserve">approximately, </w:t>
      </w:r>
      <w:r>
        <w:t xml:space="preserve">that </w:t>
      </w:r>
      <w:r w:rsidR="00EB5B6F">
        <w:t xml:space="preserve">when the force pulling the </w:t>
      </w:r>
      <w:r>
        <w:t xml:space="preserve">trolley is </w:t>
      </w:r>
      <w:r w:rsidR="00EB5B6F">
        <w:t>doubled it accelerates at twice the rate.</w:t>
      </w:r>
    </w:p>
    <w:p w:rsidR="00EB5B6F" w:rsidRDefault="00EB5B6F" w:rsidP="00785254">
      <w:pPr>
        <w:pStyle w:val="ListParagraph"/>
        <w:numPr>
          <w:ilvl w:val="0"/>
          <w:numId w:val="4"/>
        </w:numPr>
        <w:spacing w:after="60"/>
        <w:ind w:left="567" w:hanging="283"/>
        <w:contextualSpacing w:val="0"/>
      </w:pPr>
      <w:r>
        <w:t>A steady count of 3, 2, 1, go, 1, 2, 1, 2 is sufficient.</w:t>
      </w:r>
    </w:p>
    <w:p w:rsidR="00785254" w:rsidRDefault="00EB5B6F" w:rsidP="00785254">
      <w:pPr>
        <w:pStyle w:val="ListParagraph"/>
        <w:numPr>
          <w:ilvl w:val="0"/>
          <w:numId w:val="4"/>
        </w:numPr>
        <w:spacing w:after="60"/>
        <w:ind w:left="567" w:hanging="283"/>
        <w:contextualSpacing w:val="0"/>
      </w:pPr>
      <w:r>
        <w:t>At ‘go’, the hanging mass is released and the trolley starts to move forwards. On each of the 2s, a marker is placed to mark the position of the trolley.</w:t>
      </w:r>
      <w:r w:rsidR="00785254">
        <w:t xml:space="preserve"> </w:t>
      </w:r>
    </w:p>
    <w:p w:rsidR="00EB5B6F" w:rsidRPr="002B59ED" w:rsidRDefault="002B59ED" w:rsidP="00785254">
      <w:pPr>
        <w:spacing w:after="60"/>
        <w:ind w:left="567"/>
      </w:pPr>
      <w:r w:rsidRPr="002B59ED">
        <w:t>(</w:t>
      </w:r>
      <w:r w:rsidR="00785254" w:rsidRPr="002B59ED">
        <w:t>The count should be at a rate that reaches the final 2 before the weight pulling the trolley reaches the ground</w:t>
      </w:r>
      <w:r w:rsidRPr="002B59ED">
        <w:t>.)</w:t>
      </w:r>
    </w:p>
    <w:p w:rsidR="002B59ED" w:rsidRDefault="00EB5B6F" w:rsidP="00785254">
      <w:pPr>
        <w:pStyle w:val="ListParagraph"/>
        <w:numPr>
          <w:ilvl w:val="0"/>
          <w:numId w:val="4"/>
        </w:numPr>
        <w:spacing w:after="60"/>
        <w:ind w:left="567" w:hanging="283"/>
        <w:contextualSpacing w:val="0"/>
      </w:pPr>
      <w:r>
        <w:t xml:space="preserve">This is repeated with two times the pulling force </w:t>
      </w:r>
      <w:r w:rsidR="002B59ED">
        <w:t>and two times the mass</w:t>
      </w:r>
      <w:r>
        <w:t>.</w:t>
      </w:r>
      <w:r w:rsidR="002B59ED">
        <w:t xml:space="preserve"> </w:t>
      </w:r>
    </w:p>
    <w:p w:rsidR="00EB5B6F" w:rsidRPr="002B59ED" w:rsidRDefault="002B59ED" w:rsidP="002B59ED">
      <w:pPr>
        <w:spacing w:after="60"/>
        <w:ind w:firstLine="567"/>
      </w:pPr>
      <w:r>
        <w:t>(</w:t>
      </w:r>
      <w:r w:rsidRPr="002B59ED">
        <w:t>Mass is easily doubled by placing an upturned dynamics-trolley on top of the first.</w:t>
      </w:r>
      <w:r>
        <w:t>)</w:t>
      </w:r>
    </w:p>
    <w:p w:rsidR="00EB5B6F" w:rsidRDefault="002B59ED" w:rsidP="00785254">
      <w:pPr>
        <w:pStyle w:val="ListParagraph"/>
        <w:numPr>
          <w:ilvl w:val="0"/>
          <w:numId w:val="4"/>
        </w:numPr>
        <w:spacing w:after="60"/>
        <w:ind w:left="567" w:hanging="283"/>
        <w:contextualSpacing w:val="0"/>
      </w:pPr>
      <w:r>
        <w:t>If</w:t>
      </w:r>
      <w:r w:rsidR="00EB5B6F">
        <w:t xml:space="preserve"> the pulling force </w:t>
      </w:r>
      <w:r>
        <w:t>and mass are both</w:t>
      </w:r>
      <w:r w:rsidR="00EB5B6F">
        <w:t xml:space="preserve"> doubled, it will be apparent that after two seconds, the trolley moves about the </w:t>
      </w:r>
      <w:r>
        <w:t xml:space="preserve">same </w:t>
      </w:r>
      <w:r w:rsidR="00EB5B6F">
        <w:t xml:space="preserve">distance in the following two seconds. In other words, it is moving at about the </w:t>
      </w:r>
      <w:r>
        <w:t xml:space="preserve">same </w:t>
      </w:r>
      <w:r w:rsidR="00EB5B6F">
        <w:t xml:space="preserve">speed and its speed has increases </w:t>
      </w:r>
      <w:r>
        <w:t>by the same amount</w:t>
      </w:r>
      <w:r w:rsidR="00EB5B6F">
        <w:t xml:space="preserve"> as the other trolley over the same period of time.</w:t>
      </w:r>
    </w:p>
    <w:p w:rsidR="00EB5B6F" w:rsidRDefault="00EB5B6F" w:rsidP="002B59ED">
      <w:pPr>
        <w:pStyle w:val="ListParagraph"/>
        <w:spacing w:after="180"/>
        <w:ind w:left="567"/>
      </w:pPr>
      <w:r>
        <w:t>N.B. the speed measured here is the average speed of the trolley after a count of 3.</w:t>
      </w:r>
    </w:p>
    <w:p w:rsidR="002B59ED" w:rsidRDefault="002B59ED" w:rsidP="002B59ED">
      <w:pPr>
        <w:pStyle w:val="ListParagraph"/>
        <w:numPr>
          <w:ilvl w:val="0"/>
          <w:numId w:val="4"/>
        </w:numPr>
        <w:spacing w:after="180"/>
        <w:ind w:left="567" w:hanging="283"/>
      </w:pPr>
      <w:r>
        <w:t>It can be instructive to repeat this demonstration with twice the mass and the original force, and with twice the force and the original mass.</w:t>
      </w:r>
    </w:p>
    <w:p w:rsidR="00EB5B6F" w:rsidRDefault="00EB5B6F" w:rsidP="00EB5B6F">
      <w:pPr>
        <w:spacing w:after="180"/>
      </w:pPr>
      <w:r>
        <w:t>This method is usually good enough to convince students of the relationships, and if repeated for a range of different masses and forces (doubling or tripling either or both) it can be even more convincing. Especially, if students are encouraged to predict what will happen for different force – mass combinations.</w:t>
      </w:r>
    </w:p>
    <w:p w:rsidR="00BC690A" w:rsidRDefault="00BC690A" w:rsidP="00BC690A">
      <w:pPr>
        <w:spacing w:after="180"/>
      </w:pPr>
      <w:r>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 xml:space="preserve">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EB5B6F" w:rsidRDefault="001D0511" w:rsidP="001D0511">
      <w:pPr>
        <w:spacing w:after="180"/>
        <w:rPr>
          <w:b/>
          <w:color w:val="76923C" w:themeColor="accent3" w:themeShade="BF"/>
          <w:sz w:val="24"/>
        </w:rPr>
      </w:pPr>
      <w:r>
        <w:rPr>
          <w:b/>
          <w:color w:val="5F497A" w:themeColor="accent4" w:themeShade="BF"/>
          <w:sz w:val="24"/>
        </w:rPr>
        <w:t>Equipment</w:t>
      </w:r>
    </w:p>
    <w:p w:rsidR="001D0511" w:rsidRPr="00785254" w:rsidRDefault="001D0511" w:rsidP="001D0511">
      <w:pPr>
        <w:spacing w:after="180"/>
      </w:pPr>
      <w:r w:rsidRPr="005B1739">
        <w:t xml:space="preserve">For </w:t>
      </w:r>
      <w:r>
        <w:t>th</w:t>
      </w:r>
      <w:r w:rsidRPr="00785254">
        <w:t>e class</w:t>
      </w:r>
      <w:r w:rsidR="00785254" w:rsidRPr="00785254">
        <w:t xml:space="preserve"> (or for each student/pair/group)</w:t>
      </w:r>
      <w:r w:rsidRPr="00785254">
        <w:t>:</w:t>
      </w:r>
    </w:p>
    <w:p w:rsidR="001D0511" w:rsidRPr="00785254" w:rsidRDefault="00785254" w:rsidP="001D0511">
      <w:pPr>
        <w:pStyle w:val="ListParagraph"/>
        <w:numPr>
          <w:ilvl w:val="0"/>
          <w:numId w:val="1"/>
        </w:numPr>
        <w:spacing w:after="180"/>
      </w:pPr>
      <w:r w:rsidRPr="00785254">
        <w:t>Dynamics trolley (x2)</w:t>
      </w:r>
    </w:p>
    <w:p w:rsidR="00785254" w:rsidRPr="00785254" w:rsidRDefault="00785254" w:rsidP="001D0511">
      <w:pPr>
        <w:pStyle w:val="ListParagraph"/>
        <w:numPr>
          <w:ilvl w:val="0"/>
          <w:numId w:val="1"/>
        </w:numPr>
        <w:spacing w:after="180"/>
      </w:pPr>
      <w:r w:rsidRPr="00785254">
        <w:t>Bench pulley</w:t>
      </w:r>
    </w:p>
    <w:p w:rsidR="00785254" w:rsidRDefault="00785254" w:rsidP="001D0511">
      <w:pPr>
        <w:pStyle w:val="ListParagraph"/>
        <w:numPr>
          <w:ilvl w:val="0"/>
          <w:numId w:val="1"/>
        </w:numPr>
        <w:spacing w:after="180"/>
      </w:pPr>
      <w:r>
        <w:t>Set of (x10) 1 N h</w:t>
      </w:r>
      <w:r w:rsidRPr="00785254">
        <w:t xml:space="preserve">anging weights </w:t>
      </w:r>
      <w:r>
        <w:t>(see technician notes)</w:t>
      </w:r>
    </w:p>
    <w:p w:rsidR="00785254" w:rsidRDefault="00785254" w:rsidP="001D0511">
      <w:pPr>
        <w:pStyle w:val="ListParagraph"/>
        <w:numPr>
          <w:ilvl w:val="0"/>
          <w:numId w:val="1"/>
        </w:numPr>
        <w:spacing w:after="180"/>
      </w:pPr>
      <w:r>
        <w:t>String</w:t>
      </w:r>
    </w:p>
    <w:p w:rsidR="00785254" w:rsidRPr="00153689" w:rsidRDefault="00785254" w:rsidP="001D0511">
      <w:pPr>
        <w:pStyle w:val="ListParagraph"/>
        <w:numPr>
          <w:ilvl w:val="0"/>
          <w:numId w:val="1"/>
        </w:numPr>
        <w:spacing w:after="180"/>
      </w:pPr>
      <w:r w:rsidRPr="00153689">
        <w:t>Cushioning below falling weights (e.g. a piece of upholstery foam)</w:t>
      </w:r>
    </w:p>
    <w:p w:rsidR="00435DEE" w:rsidRPr="00153689" w:rsidRDefault="00435DEE" w:rsidP="00026DEC">
      <w:pPr>
        <w:spacing w:after="180"/>
        <w:rPr>
          <w:b/>
          <w:color w:val="5F497A"/>
          <w:sz w:val="24"/>
        </w:rPr>
      </w:pPr>
      <w:r w:rsidRPr="00153689">
        <w:rPr>
          <w:b/>
          <w:color w:val="5F497A"/>
          <w:sz w:val="24"/>
        </w:rPr>
        <w:lastRenderedPageBreak/>
        <w:t>Technician notes</w:t>
      </w:r>
    </w:p>
    <w:p w:rsidR="00435DEE" w:rsidRPr="00153689" w:rsidRDefault="00785254" w:rsidP="00435DEE">
      <w:pPr>
        <w:spacing w:after="180"/>
      </w:pPr>
      <w:r w:rsidRPr="00153689">
        <w:t>The motion of the trolley should only be measured over the distance that it is being pulled.</w:t>
      </w:r>
    </w:p>
    <w:p w:rsidR="00785254" w:rsidRDefault="00785254" w:rsidP="00435DEE">
      <w:pPr>
        <w:spacing w:after="180"/>
      </w:pPr>
      <w:r>
        <w:t>Weights should be chosen so that the trollies move at a reasonable pace along the bench: not so slow that friction becomes an issue; and not so fast that counting has to be very quick.</w:t>
      </w:r>
    </w:p>
    <w:p w:rsidR="00785254" w:rsidRDefault="00785254" w:rsidP="00435DEE">
      <w:pPr>
        <w:spacing w:after="180"/>
      </w:pPr>
      <w:r>
        <w:t>A friction compensated ramp could be used to enable more reliable motion whilst using smaller masses.</w:t>
      </w:r>
    </w:p>
    <w:p w:rsidR="00414B14" w:rsidRPr="00414B14" w:rsidRDefault="00414B14" w:rsidP="00414B14">
      <w:pPr>
        <w:spacing w:after="180"/>
      </w:pPr>
      <w:r w:rsidRPr="00414B14">
        <w:rPr>
          <w:iCs/>
        </w:rPr>
        <w:t xml:space="preserve">N.B. </w:t>
      </w:r>
      <w:r>
        <w:rPr>
          <w:iCs/>
        </w:rPr>
        <w:t>T</w:t>
      </w:r>
      <w:r w:rsidRPr="00414B14">
        <w:rPr>
          <w:iCs/>
        </w:rPr>
        <w:t xml:space="preserve">he force is accelerating both the trolley </w:t>
      </w:r>
      <w:r w:rsidRPr="00414B14">
        <w:rPr>
          <w:b/>
          <w:bCs/>
          <w:iCs/>
        </w:rPr>
        <w:t>and</w:t>
      </w:r>
      <w:r w:rsidRPr="00414B14">
        <w:rPr>
          <w:iCs/>
        </w:rPr>
        <w:t xml:space="preserve"> the hanging masses. Using this set up, the mass of both is exactly doubled.</w:t>
      </w:r>
      <w:r>
        <w:rPr>
          <w:iCs/>
        </w:rPr>
        <w:t xml:space="preserve"> Other variations of force and mass may not satisfy this requirement for taking accurate measurements.</w:t>
      </w:r>
      <w:bookmarkStart w:id="3" w:name="_GoBack"/>
      <w:bookmarkEnd w:id="3"/>
    </w:p>
    <w:p w:rsidR="00435DEE" w:rsidRPr="00435DEE" w:rsidRDefault="00435DEE" w:rsidP="00435DEE">
      <w:pPr>
        <w:spacing w:after="180"/>
        <w:rPr>
          <w:b/>
          <w:color w:val="5F497A"/>
          <w:sz w:val="24"/>
        </w:rPr>
      </w:pPr>
      <w:r w:rsidRPr="00435DEE">
        <w:rPr>
          <w:b/>
          <w:color w:val="5F497A"/>
          <w:sz w:val="24"/>
        </w:rPr>
        <w:t>Health and safety</w:t>
      </w:r>
    </w:p>
    <w:p w:rsidR="00435DEE" w:rsidRPr="00002133" w:rsidRDefault="00002133" w:rsidP="00435DEE">
      <w:pPr>
        <w:spacing w:after="180"/>
      </w:pPr>
      <w:r w:rsidRPr="00002133">
        <w:t>Mass hangers falling onto the floor can break.</w:t>
      </w:r>
    </w:p>
    <w:p w:rsidR="00002133" w:rsidRDefault="00002133" w:rsidP="00435DEE">
      <w:pPr>
        <w:spacing w:after="180"/>
      </w:pPr>
      <w:r w:rsidRPr="00002133">
        <w:t>There is likely to be rapid movement to mark the trolley’s</w:t>
      </w:r>
      <w:r>
        <w:t xml:space="preserve"> position.</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153689" w:rsidP="00B00348">
      <w:pPr>
        <w:spacing w:after="180"/>
      </w:pPr>
      <w:r>
        <w:t>Doubling the mass and the pulling force will result in the trolley accelerating at exactly the same rate – its movement will not change.</w:t>
      </w:r>
    </w:p>
    <w:p w:rsidR="00153689" w:rsidRDefault="00153689" w:rsidP="00B00348">
      <w:pPr>
        <w:spacing w:after="180"/>
      </w:pPr>
      <w:r>
        <w:t>Doubling the force will double acceleration, but doubling its mass will make it two times harder to accelerate. The two changes will have equal and opposite effects on the acceleration.</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873A2">
        <w:t xml:space="preserve">Simon Carson (UYSEG) and </w:t>
      </w:r>
      <w:r w:rsidR="00356308">
        <w:t>Peter Fairhurst</w:t>
      </w:r>
      <w:r w:rsidR="0015356E">
        <w:t xml:space="preserve"> (</w:t>
      </w:r>
      <w:r w:rsidR="0015356E" w:rsidRPr="00FA1F0E">
        <w:t>UYSEG)</w:t>
      </w:r>
      <w:r w:rsidR="003873A2">
        <w:t>.</w:t>
      </w:r>
    </w:p>
    <w:p w:rsidR="00CC78A5" w:rsidRDefault="00D278E8" w:rsidP="00E172C6">
      <w:pPr>
        <w:spacing w:after="180"/>
      </w:pPr>
      <w:r w:rsidRPr="0045323E">
        <w:t xml:space="preserve">Images: </w:t>
      </w:r>
      <w:r w:rsidR="00356308">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3873A2" w:rsidRPr="003873A2" w:rsidRDefault="003873A2" w:rsidP="003873A2">
      <w:pPr>
        <w:pStyle w:val="EndNoteBibliography"/>
        <w:spacing w:after="120"/>
        <w:ind w:left="426" w:hanging="426"/>
      </w:pPr>
      <w:r>
        <w:fldChar w:fldCharType="begin"/>
      </w:r>
      <w:r>
        <w:instrText xml:space="preserve"> ADDIN EN.REFLIST </w:instrText>
      </w:r>
      <w:r>
        <w:fldChar w:fldCharType="separate"/>
      </w:r>
      <w:r w:rsidRPr="003873A2">
        <w:t xml:space="preserve">Driver, R., et al. (1994). </w:t>
      </w:r>
      <w:r w:rsidRPr="003873A2">
        <w:rPr>
          <w:i/>
        </w:rPr>
        <w:t xml:space="preserve">Making Sense of Secondary Science: Research into Children's Ideas, </w:t>
      </w:r>
      <w:r w:rsidRPr="003873A2">
        <w:t>London, UK: Routledge.</w:t>
      </w:r>
    </w:p>
    <w:p w:rsidR="003873A2" w:rsidRPr="003873A2" w:rsidRDefault="003873A2" w:rsidP="003873A2">
      <w:pPr>
        <w:pStyle w:val="EndNoteBibliography"/>
        <w:spacing w:after="120"/>
        <w:ind w:left="426" w:hanging="426"/>
      </w:pPr>
      <w:r w:rsidRPr="003873A2">
        <w:t xml:space="preserve">McCloskey, M. (1983). Intuitive Physics. </w:t>
      </w:r>
      <w:r w:rsidRPr="003873A2">
        <w:rPr>
          <w:i/>
        </w:rPr>
        <w:t>Scientific American,</w:t>
      </w:r>
      <w:r w:rsidRPr="003873A2">
        <w:t xml:space="preserve"> 248(4).</w:t>
      </w:r>
    </w:p>
    <w:p w:rsidR="003873A2" w:rsidRPr="003873A2" w:rsidRDefault="003873A2" w:rsidP="003873A2">
      <w:pPr>
        <w:pStyle w:val="EndNoteBibliography"/>
        <w:spacing w:after="120"/>
        <w:ind w:left="426" w:hanging="426"/>
      </w:pPr>
      <w:r w:rsidRPr="003873A2">
        <w:t xml:space="preserve">Twigger, D., et al. (1994). The conception of force and motion of students aged between 10 and 15 years: an interview study designed to guide instruction. </w:t>
      </w:r>
      <w:r w:rsidRPr="003873A2">
        <w:rPr>
          <w:i/>
        </w:rPr>
        <w:t>International Journal of Science Education,</w:t>
      </w:r>
      <w:r w:rsidRPr="003873A2">
        <w:t xml:space="preserve"> 16(2)</w:t>
      </w:r>
      <w:r w:rsidRPr="003873A2">
        <w:rPr>
          <w:b/>
        </w:rPr>
        <w:t>,</w:t>
      </w:r>
      <w:r w:rsidRPr="003873A2">
        <w:t xml:space="preserve"> 215-229.</w:t>
      </w:r>
    </w:p>
    <w:p w:rsidR="003873A2" w:rsidRPr="003873A2" w:rsidRDefault="003873A2" w:rsidP="003873A2">
      <w:pPr>
        <w:pStyle w:val="EndNoteBibliography"/>
        <w:spacing w:after="120"/>
        <w:ind w:left="426" w:hanging="426"/>
      </w:pPr>
      <w:r w:rsidRPr="003873A2">
        <w:t xml:space="preserve">Watts, D. M. and Zylbersztajn, A. (1981). A survey of some children's ideas about force. </w:t>
      </w:r>
      <w:r w:rsidRPr="003873A2">
        <w:rPr>
          <w:i/>
        </w:rPr>
        <w:t>Physics Education,</w:t>
      </w:r>
      <w:r w:rsidRPr="003873A2">
        <w:t xml:space="preserve"> 16(6)</w:t>
      </w:r>
      <w:r w:rsidRPr="003873A2">
        <w:rPr>
          <w:b/>
        </w:rPr>
        <w:t>,</w:t>
      </w:r>
      <w:r w:rsidRPr="003873A2">
        <w:t xml:space="preserve"> 360-365.</w:t>
      </w:r>
    </w:p>
    <w:p w:rsidR="007E4771" w:rsidRPr="007E4771" w:rsidRDefault="003873A2" w:rsidP="003873A2">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32C" w:rsidRDefault="009F132C" w:rsidP="000B473B">
      <w:r>
        <w:separator/>
      </w:r>
    </w:p>
  </w:endnote>
  <w:endnote w:type="continuationSeparator" w:id="0">
    <w:p w:rsidR="009F132C" w:rsidRDefault="009F132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01A6C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414B14">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32C" w:rsidRDefault="009F132C" w:rsidP="000B473B">
      <w:r>
        <w:separator/>
      </w:r>
    </w:p>
  </w:footnote>
  <w:footnote w:type="continuationSeparator" w:id="0">
    <w:p w:rsidR="009F132C" w:rsidRDefault="009F132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7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7DD3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73"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32D7D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B0A770A"/>
    <w:multiLevelType w:val="hybridMultilevel"/>
    <w:tmpl w:val="D272EE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F132C"/>
    <w:rsid w:val="00002133"/>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53689"/>
    <w:rsid w:val="00161D3F"/>
    <w:rsid w:val="00174568"/>
    <w:rsid w:val="001915D4"/>
    <w:rsid w:val="00194675"/>
    <w:rsid w:val="001A1FED"/>
    <w:rsid w:val="001A40E2"/>
    <w:rsid w:val="001C4805"/>
    <w:rsid w:val="001D0511"/>
    <w:rsid w:val="00201AC2"/>
    <w:rsid w:val="00214608"/>
    <w:rsid w:val="002178AC"/>
    <w:rsid w:val="0022547C"/>
    <w:rsid w:val="002266A2"/>
    <w:rsid w:val="002454AC"/>
    <w:rsid w:val="00252175"/>
    <w:rsid w:val="0025410A"/>
    <w:rsid w:val="0027553E"/>
    <w:rsid w:val="0028012F"/>
    <w:rsid w:val="002828DF"/>
    <w:rsid w:val="00287876"/>
    <w:rsid w:val="00292C53"/>
    <w:rsid w:val="00294E22"/>
    <w:rsid w:val="002A08F2"/>
    <w:rsid w:val="002B59ED"/>
    <w:rsid w:val="002C22EA"/>
    <w:rsid w:val="002C59BA"/>
    <w:rsid w:val="002F41B2"/>
    <w:rsid w:val="00301AA9"/>
    <w:rsid w:val="003117F6"/>
    <w:rsid w:val="003533B8"/>
    <w:rsid w:val="00356308"/>
    <w:rsid w:val="003752BE"/>
    <w:rsid w:val="003873A2"/>
    <w:rsid w:val="003A346A"/>
    <w:rsid w:val="003B2917"/>
    <w:rsid w:val="003B541B"/>
    <w:rsid w:val="003E2B2F"/>
    <w:rsid w:val="003E6046"/>
    <w:rsid w:val="003F16F9"/>
    <w:rsid w:val="00414B14"/>
    <w:rsid w:val="00430C1F"/>
    <w:rsid w:val="00435DEE"/>
    <w:rsid w:val="00442595"/>
    <w:rsid w:val="0045323E"/>
    <w:rsid w:val="0048726C"/>
    <w:rsid w:val="004B0EE1"/>
    <w:rsid w:val="004D0D83"/>
    <w:rsid w:val="004E1DF1"/>
    <w:rsid w:val="004E5592"/>
    <w:rsid w:val="0050055B"/>
    <w:rsid w:val="00514F6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85254"/>
    <w:rsid w:val="007A3C86"/>
    <w:rsid w:val="007A683E"/>
    <w:rsid w:val="007A748B"/>
    <w:rsid w:val="007D1D65"/>
    <w:rsid w:val="007E0A9E"/>
    <w:rsid w:val="007E4771"/>
    <w:rsid w:val="007E4CA8"/>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9F132C"/>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C690A"/>
    <w:rsid w:val="00BE7653"/>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B5B6F"/>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B3410C"/>
  <w15:docId w15:val="{A918C823-B92F-4587-90F1-B4583870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3873A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873A2"/>
    <w:rPr>
      <w:rFonts w:ascii="Calibri" w:hAnsi="Calibri" w:cs="Calibri"/>
      <w:noProof/>
      <w:lang w:val="en-US"/>
    </w:rPr>
  </w:style>
  <w:style w:type="paragraph" w:customStyle="1" w:styleId="EndNoteBibliography">
    <w:name w:val="EndNote Bibliography"/>
    <w:basedOn w:val="Normal"/>
    <w:link w:val="EndNoteBibliographyChar"/>
    <w:rsid w:val="003873A2"/>
    <w:rPr>
      <w:rFonts w:ascii="Calibri" w:hAnsi="Calibri" w:cs="Calibri"/>
      <w:noProof/>
      <w:lang w:val="en-US"/>
    </w:rPr>
  </w:style>
  <w:style w:type="character" w:customStyle="1" w:styleId="EndNoteBibliographyChar">
    <w:name w:val="EndNote Bibliography Char"/>
    <w:basedOn w:val="DefaultParagraphFont"/>
    <w:link w:val="EndNoteBibliography"/>
    <w:rsid w:val="003873A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45494">
      <w:bodyDiv w:val="1"/>
      <w:marLeft w:val="0"/>
      <w:marRight w:val="0"/>
      <w:marTop w:val="0"/>
      <w:marBottom w:val="0"/>
      <w:divBdr>
        <w:top w:val="none" w:sz="0" w:space="0" w:color="auto"/>
        <w:left w:val="none" w:sz="0" w:space="0" w:color="auto"/>
        <w:bottom w:val="none" w:sz="0" w:space="0" w:color="auto"/>
        <w:right w:val="none" w:sz="0" w:space="0" w:color="auto"/>
      </w:divBdr>
    </w:div>
    <w:div w:id="221793161">
      <w:bodyDiv w:val="1"/>
      <w:marLeft w:val="0"/>
      <w:marRight w:val="0"/>
      <w:marTop w:val="0"/>
      <w:marBottom w:val="0"/>
      <w:divBdr>
        <w:top w:val="none" w:sz="0" w:space="0" w:color="auto"/>
        <w:left w:val="none" w:sz="0" w:space="0" w:color="auto"/>
        <w:bottom w:val="none" w:sz="0" w:space="0" w:color="auto"/>
        <w:right w:val="none" w:sz="0" w:space="0" w:color="auto"/>
      </w:divBdr>
    </w:div>
    <w:div w:id="672269356">
      <w:bodyDiv w:val="1"/>
      <w:marLeft w:val="0"/>
      <w:marRight w:val="0"/>
      <w:marTop w:val="0"/>
      <w:marBottom w:val="0"/>
      <w:divBdr>
        <w:top w:val="none" w:sz="0" w:space="0" w:color="auto"/>
        <w:left w:val="none" w:sz="0" w:space="0" w:color="auto"/>
        <w:bottom w:val="none" w:sz="0" w:space="0" w:color="auto"/>
        <w:right w:val="none" w:sz="0" w:space="0" w:color="auto"/>
      </w:divBdr>
    </w:div>
    <w:div w:id="811824457">
      <w:bodyDiv w:val="1"/>
      <w:marLeft w:val="0"/>
      <w:marRight w:val="0"/>
      <w:marTop w:val="0"/>
      <w:marBottom w:val="0"/>
      <w:divBdr>
        <w:top w:val="none" w:sz="0" w:space="0" w:color="auto"/>
        <w:left w:val="none" w:sz="0" w:space="0" w:color="auto"/>
        <w:bottom w:val="none" w:sz="0" w:space="0" w:color="auto"/>
        <w:right w:val="none" w:sz="0" w:space="0" w:color="auto"/>
      </w:divBdr>
    </w:div>
    <w:div w:id="1180773713">
      <w:bodyDiv w:val="1"/>
      <w:marLeft w:val="0"/>
      <w:marRight w:val="0"/>
      <w:marTop w:val="0"/>
      <w:marBottom w:val="0"/>
      <w:divBdr>
        <w:top w:val="none" w:sz="0" w:space="0" w:color="auto"/>
        <w:left w:val="none" w:sz="0" w:space="0" w:color="auto"/>
        <w:bottom w:val="none" w:sz="0" w:space="0" w:color="auto"/>
        <w:right w:val="none" w:sz="0" w:space="0" w:color="auto"/>
      </w:divBdr>
    </w:div>
    <w:div w:id="21368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52</TotalTime>
  <Pages>4</Pages>
  <Words>1725</Words>
  <Characters>9835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9</cp:revision>
  <cp:lastPrinted>2017-02-24T16:20:00Z</cp:lastPrinted>
  <dcterms:created xsi:type="dcterms:W3CDTF">2022-09-08T10:08:00Z</dcterms:created>
  <dcterms:modified xsi:type="dcterms:W3CDTF">2022-09-20T08:21:00Z</dcterms:modified>
</cp:coreProperties>
</file>